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Karta oceny operacji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grantowych w ramach konkursu nr </w:t>
            </w:r>
            <w:r w:rsidR="006D1A6E">
              <w:rPr>
                <w:rFonts w:ascii="Times New Roman" w:eastAsia="Calibri" w:hAnsi="Times New Roman" w:cs="Times New Roman"/>
                <w:b/>
                <w:lang w:eastAsia="zh-CN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lang w:eastAsia="zh-CN"/>
              </w:rPr>
              <w:t>/2019/G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Numer wniosku: 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 Aktywni i świadomi mieszkańcy dbający o kulturę i dziedzictwo obszaru LGD oraz środowisko naturalne.</w:t>
            </w:r>
          </w:p>
        </w:tc>
      </w:tr>
      <w:tr w:rsidR="006602E5" w:rsidRPr="005B540D" w:rsidTr="00351864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2.1 Rozwój branży turystycznej wykorzystującej w sposób zrównoważony lokalne zasoby i dziedzictwo oraz pasje mieszkańców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 Rozwój infrastruktury uzupełniającej ofertę turystyczna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 Włączenie grup de faworyzowanych poprzez zwiększenie możliwości ich zaangażowania w życie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– kulturalne obszaru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 Zachowanie i zrównoważone wykorzystanie dziedzictwa kulturowego, historycznego, przyrodniczego i rybackiego</w:t>
            </w:r>
          </w:p>
        </w:tc>
      </w:tr>
      <w:tr w:rsidR="006602E5" w:rsidRPr="005B540D" w:rsidTr="00351864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2.2.1 Budowa małej architektury turystycznej, rekreacyjnej i sportowej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4.1.2 Wsparcie grup promujących zasoby regionu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4.1.3 Wsparcie działań dotyczących wyposażenia grup kultywujących dziedzictwo obszaru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4.2.1 Dostosowanie i wyposażenie obiektów pełniących funkcje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- kulturalne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4.2.2 Edukacja regionalna dla dzieci i młodzieży</w:t>
            </w:r>
          </w:p>
        </w:tc>
      </w:tr>
      <w:tr w:rsidR="006602E5" w:rsidRPr="005B540D" w:rsidTr="00351864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4.4.1 Wsparcie działań w zakresie renowacji obiektów zabytkowych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Ilość przyznanych punktów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Wnioskodawca skonsultował wniosek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skonsultował przygotowywany wniosek o przyznanie pomocy z pracownikiem Biura LGD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wykorzystanie i promocję zasobów: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kulturowego i historycznego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kulinarnego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 ramach realizowanej operacji wykorzystanie i promocję zasobów: 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kulturowego lub historycznego (np. zabytki, pomniki przyrody, tradycje, obrzędy związane z obszarem, historię regionu),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kulinarnego (produkty tradycyjne i regionalne, kuchnia tradycyjna)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 jest skierowana do grup defaworyzowanych zdiagnozowanych w LSR: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 grupy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 grup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 ramach planowanej do realizacji operacji zaplanowano włączenie osób z grup defaworyzowanych zdiagnozowanych w LSR, tj. młodzież, osoby bezrobotne seniorzy i mieszkańcy wsi. Kryterium uznaje się za spełnione jeżeli efekty realizacji operacji będą służyły między innymi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grupie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defaworyzwanej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 zgodnie z definicją i zakresem przyjętym w LSR oraz na jej wprowadzenie zaplanowano koszty w budżecie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innowacyjna: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LGD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gminy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miejscowości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6602E5" w:rsidRPr="005B540D" w:rsidRDefault="006602E5" w:rsidP="003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B540D">
              <w:rPr>
                <w:rFonts w:ascii="Calibri" w:eastAsia="Calibri" w:hAnsi="Calibri" w:cs="Calibri"/>
              </w:rPr>
              <w:t>Grantobiorca</w:t>
            </w:r>
            <w:proofErr w:type="spellEnd"/>
            <w:r w:rsidRPr="005B540D">
              <w:rPr>
                <w:rFonts w:ascii="Calibri" w:eastAsia="Calibri" w:hAnsi="Calibri" w:cs="Calibri"/>
              </w:rPr>
              <w:t xml:space="preserve"> musi dokładnie opisać innowacyjność swojej operacji w sposób nie budzący wątpliwości.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Grantobiorcę</w:t>
            </w:r>
            <w:proofErr w:type="spellEnd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Operacja przyczynia się do integracji mieszkańców poprzez nawiązanie stałej współpracy związanej z realizowaną operacją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jednej miejscowości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gminy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zaplanował działania przyczyniające się do integracji lokalnej społeczności.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przyczynia się do podniesienia atrakcyjności obszaru poprzez: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Budowę małej architektury turystycznej lub rekreacyjnej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promujących dziedzictwo obszaru LGD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Podejmowanie działań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dotyczących edukacji i kultywowania dziedzictwa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mających na celu zachowanie dziedzictwa historycznego i kulturowego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się za spełnione, jeżeli w ramach planowanej do realizacji operacji zaplanowano działania przyczyniające się do podniesienia atrakcyjności obszaru związane z  tworzeniem i rozwojem tematycznych obiektów turystycznych lub budową małej architektury turystycznej; podejmowaniem działań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promujących dziedzictwo obszaru LGD; podejmowaniem działań dotyczących edukacji i kultywowania dziedzictwa, podejmowaniem działań mających na celu zachowanie dziedzictwa historycznego i kulturowego.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Kwota dofinansowania wynosi: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do 25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25 tyś. do 35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 o niższej wartości dofinansowania.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realizowana jest przez: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organizację pozarządową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operacje, których wnioskodawcami będą organizacje pozarządowe.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ma wpływ na rozwiązywanie problemów obszaru objętego LSR wskazanych w diagnozie: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operacja przyczynia się do rozwiązania 3 problemów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rozwiązania 2 problemów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1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sie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351864">
            <w:pPr>
              <w:tabs>
                <w:tab w:val="left" w:pos="0"/>
              </w:tabs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promocje obszaru LGD: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na terenie obszaru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poza obszarem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Grantobiorca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Maksymalna liczba: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D04E2" w:rsidRDefault="00ED04E2"/>
    <w:p w:rsidR="006602E5" w:rsidRDefault="006602E5">
      <w:r>
        <w:t>Minimalna liczba punktów, jaką należy uzyskać aby otrzymać dofinansowanie w naborze Nr 7/2019/G</w:t>
      </w:r>
    </w:p>
    <w:p w:rsidR="006602E5" w:rsidRPr="006602E5" w:rsidRDefault="006602E5">
      <w:pPr>
        <w:rPr>
          <w:b/>
        </w:rPr>
      </w:pPr>
      <w:r w:rsidRPr="006602E5">
        <w:rPr>
          <w:b/>
        </w:rPr>
        <w:t>- 14,5 pkt</w:t>
      </w:r>
    </w:p>
    <w:sectPr w:rsidR="006602E5" w:rsidRPr="006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E5"/>
    <w:rsid w:val="006602E5"/>
    <w:rsid w:val="006D1A6E"/>
    <w:rsid w:val="00E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4DDC"/>
  <w15:docId w15:val="{52FC29FB-6746-4D36-81B1-BADDEDC4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2019-04-15T13:43:00Z</dcterms:created>
  <dcterms:modified xsi:type="dcterms:W3CDTF">2019-04-15T13:43:00Z</dcterms:modified>
</cp:coreProperties>
</file>